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保定市交通运输局行政裁量权基准</w:t>
      </w:r>
      <w:r>
        <w:rPr>
          <w:rFonts w:hint="eastAsia" w:ascii="方正小标宋简体" w:hAnsi="方正小标宋简体" w:eastAsia="方正小标宋简体" w:cs="方正小标宋简体"/>
          <w:sz w:val="44"/>
          <w:szCs w:val="44"/>
        </w:rPr>
        <w:t>（2023年）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行政处罚裁量权基准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0"/>
          <w:szCs w:val="40"/>
          <w:lang w:val="en-US" w:eastAsia="zh-CN"/>
        </w:rPr>
        <w:t>（城市公共汽车客运）</w:t>
      </w: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931"/>
        <w:gridCol w:w="1767"/>
        <w:gridCol w:w="1064"/>
        <w:gridCol w:w="1423"/>
        <w:gridCol w:w="1824"/>
        <w:gridCol w:w="1171"/>
        <w:gridCol w:w="1661"/>
        <w:gridCol w:w="221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restart"/>
            <w:vAlign w:val="center"/>
          </w:tcPr>
          <w:p>
            <w:pPr>
              <w:jc w:val="center"/>
            </w:pPr>
            <w:r>
              <w:rPr>
                <w:rFonts w:hint="eastAsia"/>
              </w:rPr>
              <w:t>序号</w:t>
            </w:r>
          </w:p>
        </w:tc>
        <w:tc>
          <w:tcPr>
            <w:tcW w:w="1935" w:type="dxa"/>
            <w:vMerge w:val="restart"/>
            <w:vAlign w:val="center"/>
          </w:tcPr>
          <w:p>
            <w:pPr>
              <w:jc w:val="center"/>
            </w:pPr>
            <w:r>
              <w:rPr>
                <w:rFonts w:hint="eastAsia"/>
              </w:rPr>
              <w:t>事项名称</w:t>
            </w:r>
          </w:p>
        </w:tc>
        <w:tc>
          <w:tcPr>
            <w:tcW w:w="1770" w:type="dxa"/>
            <w:vMerge w:val="restart"/>
            <w:vAlign w:val="center"/>
          </w:tcPr>
          <w:p>
            <w:pPr>
              <w:jc w:val="center"/>
            </w:pPr>
            <w:r>
              <w:rPr>
                <w:rFonts w:hint="eastAsia"/>
              </w:rPr>
              <w:t>违法情形</w:t>
            </w:r>
          </w:p>
        </w:tc>
        <w:tc>
          <w:tcPr>
            <w:tcW w:w="2490" w:type="dxa"/>
            <w:gridSpan w:val="2"/>
            <w:vAlign w:val="center"/>
          </w:tcPr>
          <w:p>
            <w:pPr>
              <w:jc w:val="center"/>
            </w:pPr>
            <w:r>
              <w:rPr>
                <w:rFonts w:hint="eastAsia"/>
              </w:rPr>
              <w:t>事实依据</w:t>
            </w:r>
          </w:p>
        </w:tc>
        <w:tc>
          <w:tcPr>
            <w:tcW w:w="1827" w:type="dxa"/>
            <w:vMerge w:val="restart"/>
            <w:vAlign w:val="center"/>
          </w:tcPr>
          <w:p>
            <w:pPr>
              <w:jc w:val="center"/>
            </w:pPr>
            <w:r>
              <w:rPr>
                <w:rFonts w:hint="eastAsia"/>
              </w:rPr>
              <w:t>法律责任</w:t>
            </w:r>
          </w:p>
        </w:tc>
        <w:tc>
          <w:tcPr>
            <w:tcW w:w="2836" w:type="dxa"/>
            <w:gridSpan w:val="2"/>
            <w:vAlign w:val="center"/>
          </w:tcPr>
          <w:p>
            <w:pPr>
              <w:jc w:val="center"/>
            </w:pPr>
            <w:r>
              <w:rPr>
                <w:rFonts w:hint="eastAsia"/>
              </w:rPr>
              <w:t>违法行为</w:t>
            </w:r>
          </w:p>
        </w:tc>
        <w:tc>
          <w:tcPr>
            <w:tcW w:w="2222" w:type="dxa"/>
            <w:vMerge w:val="restart"/>
            <w:vAlign w:val="center"/>
          </w:tcPr>
          <w:p>
            <w:pPr>
              <w:jc w:val="center"/>
            </w:pPr>
            <w:r>
              <w:rPr>
                <w:rFonts w:hint="eastAsia"/>
              </w:rPr>
              <w:t>执行标准</w:t>
            </w:r>
          </w:p>
        </w:tc>
        <w:tc>
          <w:tcPr>
            <w:tcW w:w="614" w:type="dxa"/>
            <w:vMerge w:val="restart"/>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pPr>
              <w:jc w:val="center"/>
            </w:pPr>
          </w:p>
        </w:tc>
        <w:tc>
          <w:tcPr>
            <w:tcW w:w="1935" w:type="dxa"/>
            <w:vMerge w:val="continue"/>
            <w:vAlign w:val="center"/>
          </w:tcPr>
          <w:p>
            <w:pPr>
              <w:jc w:val="center"/>
            </w:pPr>
          </w:p>
        </w:tc>
        <w:tc>
          <w:tcPr>
            <w:tcW w:w="1770" w:type="dxa"/>
            <w:vMerge w:val="continue"/>
            <w:vAlign w:val="center"/>
          </w:tcPr>
          <w:p>
            <w:pPr>
              <w:jc w:val="center"/>
            </w:pPr>
          </w:p>
        </w:tc>
        <w:tc>
          <w:tcPr>
            <w:tcW w:w="1065" w:type="dxa"/>
            <w:vAlign w:val="center"/>
          </w:tcPr>
          <w:p>
            <w:pPr>
              <w:jc w:val="center"/>
            </w:pPr>
            <w:r>
              <w:rPr>
                <w:rFonts w:hint="eastAsia"/>
              </w:rPr>
              <w:t>行为模式</w:t>
            </w:r>
          </w:p>
        </w:tc>
        <w:tc>
          <w:tcPr>
            <w:tcW w:w="1425" w:type="dxa"/>
            <w:vAlign w:val="center"/>
          </w:tcPr>
          <w:p>
            <w:pPr>
              <w:jc w:val="center"/>
            </w:pPr>
            <w:r>
              <w:rPr>
                <w:rFonts w:hint="eastAsia"/>
              </w:rPr>
              <w:t>法律后果</w:t>
            </w:r>
          </w:p>
        </w:tc>
        <w:tc>
          <w:tcPr>
            <w:tcW w:w="1827" w:type="dxa"/>
            <w:vMerge w:val="continue"/>
            <w:vAlign w:val="center"/>
          </w:tcPr>
          <w:p>
            <w:pPr>
              <w:jc w:val="center"/>
            </w:pPr>
          </w:p>
        </w:tc>
        <w:tc>
          <w:tcPr>
            <w:tcW w:w="1173" w:type="dxa"/>
            <w:vAlign w:val="center"/>
          </w:tcPr>
          <w:p>
            <w:pPr>
              <w:jc w:val="center"/>
            </w:pPr>
            <w:r>
              <w:rPr>
                <w:rFonts w:hint="eastAsia"/>
              </w:rPr>
              <w:t>轻重等级</w:t>
            </w:r>
          </w:p>
        </w:tc>
        <w:tc>
          <w:tcPr>
            <w:tcW w:w="1663" w:type="dxa"/>
            <w:vAlign w:val="center"/>
          </w:tcPr>
          <w:p>
            <w:pPr>
              <w:jc w:val="center"/>
            </w:pPr>
            <w:r>
              <w:rPr>
                <w:rFonts w:hint="eastAsia"/>
              </w:rPr>
              <w:t>具体表现</w:t>
            </w:r>
          </w:p>
        </w:tc>
        <w:tc>
          <w:tcPr>
            <w:tcW w:w="2222" w:type="dxa"/>
            <w:vMerge w:val="continue"/>
            <w:vAlign w:val="center"/>
          </w:tcPr>
          <w:p>
            <w:pPr>
              <w:jc w:val="center"/>
            </w:pPr>
          </w:p>
        </w:tc>
        <w:tc>
          <w:tcPr>
            <w:tcW w:w="61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80" w:type="dxa"/>
            <w:vMerge w:val="restart"/>
            <w:vAlign w:val="center"/>
          </w:tcPr>
          <w:p>
            <w:pPr>
              <w:jc w:val="center"/>
            </w:pPr>
            <w:r>
              <w:rPr>
                <w:rFonts w:hint="eastAsia"/>
              </w:rPr>
              <w:t>1</w:t>
            </w:r>
          </w:p>
        </w:tc>
        <w:tc>
          <w:tcPr>
            <w:tcW w:w="1935" w:type="dxa"/>
            <w:vMerge w:val="restart"/>
            <w:vAlign w:val="center"/>
          </w:tcPr>
          <w:p>
            <w:r>
              <w:rPr>
                <w:rFonts w:hint="eastAsia"/>
              </w:rPr>
              <w:t>对转让、出租或者变相转让、出租城市公共汽车客运线路运营权的行政处罚</w:t>
            </w:r>
          </w:p>
        </w:tc>
        <w:tc>
          <w:tcPr>
            <w:tcW w:w="1770" w:type="dxa"/>
            <w:vMerge w:val="restart"/>
            <w:vAlign w:val="center"/>
          </w:tcPr>
          <w:p>
            <w:r>
              <w:rPr>
                <w:rFonts w:hint="eastAsia"/>
              </w:rPr>
              <w:t>转让、出租或者变相转让、出租城市公共汽车客运线路运营权的</w:t>
            </w:r>
          </w:p>
        </w:tc>
        <w:tc>
          <w:tcPr>
            <w:tcW w:w="1065" w:type="dxa"/>
            <w:vMerge w:val="restart"/>
            <w:vAlign w:val="center"/>
          </w:tcPr>
          <w:p>
            <w:r>
              <w:rPr>
                <w:rFonts w:hint="eastAsia"/>
              </w:rPr>
              <w:t>《保定市城市公共汽车客运条例》第二十四条</w:t>
            </w:r>
          </w:p>
        </w:tc>
        <w:tc>
          <w:tcPr>
            <w:tcW w:w="1425" w:type="dxa"/>
            <w:vMerge w:val="restart"/>
            <w:vAlign w:val="center"/>
          </w:tcPr>
          <w:p>
            <w:r>
              <w:rPr>
                <w:rFonts w:hint="eastAsia"/>
              </w:rPr>
              <w:t>《保定市城市公共汽车客运条例》第五十六条</w:t>
            </w:r>
          </w:p>
        </w:tc>
        <w:tc>
          <w:tcPr>
            <w:tcW w:w="1827" w:type="dxa"/>
            <w:vMerge w:val="restart"/>
            <w:vAlign w:val="center"/>
          </w:tcPr>
          <w:p>
            <w:r>
              <w:rPr>
                <w:rFonts w:hint="eastAsia"/>
              </w:rPr>
              <w:t>责令限期改正；逾期未改正的，处一万元以上三万元以下罚款；情节严重的，依法取消相关线路的特许经营权</w:t>
            </w:r>
          </w:p>
        </w:tc>
        <w:tc>
          <w:tcPr>
            <w:tcW w:w="1173" w:type="dxa"/>
            <w:vAlign w:val="center"/>
          </w:tcPr>
          <w:p>
            <w:pPr>
              <w:jc w:val="center"/>
            </w:pPr>
            <w:r>
              <w:rPr>
                <w:rFonts w:hint="eastAsia"/>
              </w:rPr>
              <w:t>一般</w:t>
            </w:r>
          </w:p>
        </w:tc>
        <w:tc>
          <w:tcPr>
            <w:tcW w:w="1663" w:type="dxa"/>
            <w:vAlign w:val="center"/>
          </w:tcPr>
          <w:p>
            <w:r>
              <w:rPr>
                <w:rFonts w:hint="eastAsia"/>
              </w:rPr>
              <w:t>实施违法行为的，初次逾期未改正的</w:t>
            </w:r>
          </w:p>
        </w:tc>
        <w:tc>
          <w:tcPr>
            <w:tcW w:w="2222" w:type="dxa"/>
            <w:vAlign w:val="center"/>
          </w:tcPr>
          <w:p>
            <w:r>
              <w:rPr>
                <w:rFonts w:hint="eastAsia"/>
              </w:rPr>
              <w:t>责令限期改正，并处10000元的罚款</w:t>
            </w:r>
          </w:p>
        </w:tc>
        <w:tc>
          <w:tcPr>
            <w:tcW w:w="614" w:type="dxa"/>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较重</w:t>
            </w:r>
          </w:p>
        </w:tc>
        <w:tc>
          <w:tcPr>
            <w:tcW w:w="1663" w:type="dxa"/>
            <w:vAlign w:val="center"/>
          </w:tcPr>
          <w:p>
            <w:r>
              <w:rPr>
                <w:rFonts w:hint="eastAsia"/>
              </w:rPr>
              <w:t>第2次逾期未改正的</w:t>
            </w:r>
          </w:p>
        </w:tc>
        <w:tc>
          <w:tcPr>
            <w:tcW w:w="2222" w:type="dxa"/>
            <w:vAlign w:val="center"/>
          </w:tcPr>
          <w:p>
            <w:r>
              <w:rPr>
                <w:rFonts w:hint="eastAsia"/>
              </w:rPr>
              <w:t>责令限期改正，并处15000元的罚款</w:t>
            </w:r>
          </w:p>
        </w:tc>
        <w:tc>
          <w:tcPr>
            <w:tcW w:w="61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严重</w:t>
            </w:r>
          </w:p>
        </w:tc>
        <w:tc>
          <w:tcPr>
            <w:tcW w:w="1663" w:type="dxa"/>
            <w:vAlign w:val="center"/>
          </w:tcPr>
          <w:p>
            <w:r>
              <w:rPr>
                <w:rFonts w:hint="eastAsia"/>
              </w:rPr>
              <w:t>第3次（含）以上逾期仍不改正的</w:t>
            </w:r>
          </w:p>
        </w:tc>
        <w:tc>
          <w:tcPr>
            <w:tcW w:w="2222" w:type="dxa"/>
            <w:vAlign w:val="center"/>
          </w:tcPr>
          <w:p>
            <w:r>
              <w:rPr>
                <w:rFonts w:hint="eastAsia"/>
              </w:rPr>
              <w:t>处25000元的罚款，依法取消相关城市公共汽电车客运经营者的特许经营权</w:t>
            </w:r>
          </w:p>
        </w:tc>
        <w:tc>
          <w:tcPr>
            <w:tcW w:w="61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80" w:type="dxa"/>
            <w:vMerge w:val="restart"/>
            <w:vAlign w:val="center"/>
          </w:tcPr>
          <w:p>
            <w:pPr>
              <w:jc w:val="center"/>
            </w:pPr>
            <w:r>
              <w:rPr>
                <w:rFonts w:hint="eastAsia"/>
              </w:rPr>
              <w:t>2</w:t>
            </w:r>
          </w:p>
        </w:tc>
        <w:tc>
          <w:tcPr>
            <w:tcW w:w="1935" w:type="dxa"/>
            <w:vMerge w:val="restart"/>
            <w:vAlign w:val="center"/>
          </w:tcPr>
          <w:p>
            <w:r>
              <w:rPr>
                <w:rFonts w:hint="eastAsia"/>
              </w:rPr>
              <w:t>对擅自从事城市公共汽车客运线路运营的行政处罚</w:t>
            </w:r>
          </w:p>
        </w:tc>
        <w:tc>
          <w:tcPr>
            <w:tcW w:w="1770" w:type="dxa"/>
            <w:vMerge w:val="restart"/>
            <w:vAlign w:val="center"/>
          </w:tcPr>
          <w:p>
            <w:r>
              <w:rPr>
                <w:rFonts w:hint="eastAsia"/>
              </w:rPr>
              <w:t>未取得线路运营权、未与市、县级人民政府交通运输主管部门签订城市公共汽车客运线路特许经营协议，擅自从事城市公共汽车客运线路运营的</w:t>
            </w:r>
          </w:p>
        </w:tc>
        <w:tc>
          <w:tcPr>
            <w:tcW w:w="1065" w:type="dxa"/>
            <w:vMerge w:val="restart"/>
            <w:vAlign w:val="center"/>
          </w:tcPr>
          <w:p>
            <w:r>
              <w:rPr>
                <w:rFonts w:hint="eastAsia"/>
              </w:rPr>
              <w:t>《保定市城市公共汽车客运条例》第二十三条</w:t>
            </w:r>
          </w:p>
        </w:tc>
        <w:tc>
          <w:tcPr>
            <w:tcW w:w="1425" w:type="dxa"/>
            <w:vMerge w:val="restart"/>
            <w:vAlign w:val="center"/>
          </w:tcPr>
          <w:p>
            <w:r>
              <w:rPr>
                <w:rFonts w:hint="eastAsia"/>
              </w:rPr>
              <w:t>《保定市城市公共汽车客运条例》第五十七条</w:t>
            </w:r>
          </w:p>
        </w:tc>
        <w:tc>
          <w:tcPr>
            <w:tcW w:w="1827" w:type="dxa"/>
            <w:vMerge w:val="restart"/>
            <w:vAlign w:val="center"/>
          </w:tcPr>
          <w:p>
            <w:r>
              <w:rPr>
                <w:rFonts w:hint="eastAsia"/>
              </w:rPr>
              <w:t>责令停止运营，并处二万元以上三万元以下罚款</w:t>
            </w:r>
          </w:p>
        </w:tc>
        <w:tc>
          <w:tcPr>
            <w:tcW w:w="1173" w:type="dxa"/>
            <w:vAlign w:val="center"/>
          </w:tcPr>
          <w:p>
            <w:pPr>
              <w:jc w:val="center"/>
            </w:pPr>
            <w:r>
              <w:rPr>
                <w:rFonts w:hint="eastAsia"/>
              </w:rPr>
              <w:t>一般</w:t>
            </w:r>
          </w:p>
        </w:tc>
        <w:tc>
          <w:tcPr>
            <w:tcW w:w="1663" w:type="dxa"/>
            <w:vAlign w:val="center"/>
          </w:tcPr>
          <w:p>
            <w:r>
              <w:rPr>
                <w:rFonts w:hint="eastAsia"/>
              </w:rPr>
              <w:t>初次实施违法行为的</w:t>
            </w:r>
          </w:p>
        </w:tc>
        <w:tc>
          <w:tcPr>
            <w:tcW w:w="2222" w:type="dxa"/>
            <w:vAlign w:val="center"/>
          </w:tcPr>
          <w:p>
            <w:r>
              <w:rPr>
                <w:rFonts w:hint="eastAsia"/>
              </w:rPr>
              <w:t>责令停止经营，并处20000元的罚款</w:t>
            </w:r>
          </w:p>
        </w:tc>
        <w:tc>
          <w:tcPr>
            <w:tcW w:w="61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较重</w:t>
            </w:r>
          </w:p>
        </w:tc>
        <w:tc>
          <w:tcPr>
            <w:tcW w:w="1663" w:type="dxa"/>
            <w:vAlign w:val="center"/>
          </w:tcPr>
          <w:p>
            <w:r>
              <w:rPr>
                <w:rFonts w:hint="eastAsia"/>
              </w:rPr>
              <w:t>一年内实施违法行为2次的</w:t>
            </w:r>
          </w:p>
        </w:tc>
        <w:tc>
          <w:tcPr>
            <w:tcW w:w="2222" w:type="dxa"/>
            <w:vAlign w:val="center"/>
          </w:tcPr>
          <w:p>
            <w:r>
              <w:rPr>
                <w:rFonts w:hint="eastAsia"/>
              </w:rPr>
              <w:t>责令停止经营，并处25000元的罚款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严重</w:t>
            </w:r>
          </w:p>
        </w:tc>
        <w:tc>
          <w:tcPr>
            <w:tcW w:w="1663" w:type="dxa"/>
            <w:vAlign w:val="center"/>
          </w:tcPr>
          <w:p>
            <w:r>
              <w:rPr>
                <w:rFonts w:hint="eastAsia"/>
              </w:rPr>
              <w:t>一年内实施违法行为3次（含）以上的</w:t>
            </w:r>
          </w:p>
        </w:tc>
        <w:tc>
          <w:tcPr>
            <w:tcW w:w="2222" w:type="dxa"/>
            <w:vAlign w:val="center"/>
          </w:tcPr>
          <w:p>
            <w:r>
              <w:rPr>
                <w:rFonts w:hint="eastAsia"/>
              </w:rPr>
              <w:t>责令停止经营，并处28000元的罚款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80" w:type="dxa"/>
            <w:vMerge w:val="restart"/>
            <w:vAlign w:val="center"/>
          </w:tcPr>
          <w:p>
            <w:pPr>
              <w:jc w:val="center"/>
            </w:pPr>
            <w:r>
              <w:rPr>
                <w:rFonts w:hint="eastAsia"/>
              </w:rPr>
              <w:t>3</w:t>
            </w:r>
          </w:p>
        </w:tc>
        <w:tc>
          <w:tcPr>
            <w:tcW w:w="1935" w:type="dxa"/>
            <w:vMerge w:val="restart"/>
            <w:vAlign w:val="center"/>
          </w:tcPr>
          <w:p>
            <w:r>
              <w:rPr>
                <w:rFonts w:hint="eastAsia"/>
              </w:rPr>
              <w:t>对城市公共汽车客运企业未按规定配置服务设施和运营标识的行政处罚</w:t>
            </w:r>
          </w:p>
        </w:tc>
        <w:tc>
          <w:tcPr>
            <w:tcW w:w="1770" w:type="dxa"/>
            <w:vMerge w:val="restart"/>
            <w:vAlign w:val="center"/>
          </w:tcPr>
          <w:p>
            <w:r>
              <w:rPr>
                <w:rFonts w:hint="eastAsia"/>
              </w:rPr>
              <w:t>城市公共汽车客运企业未按规定配置服务设施和运营标识的</w:t>
            </w:r>
          </w:p>
        </w:tc>
        <w:tc>
          <w:tcPr>
            <w:tcW w:w="1065" w:type="dxa"/>
            <w:vMerge w:val="restart"/>
            <w:vAlign w:val="center"/>
          </w:tcPr>
          <w:p>
            <w:r>
              <w:rPr>
                <w:rFonts w:hint="eastAsia"/>
              </w:rPr>
              <w:t>《保定市城市公共汽车客运条例》第三十四条</w:t>
            </w:r>
          </w:p>
        </w:tc>
        <w:tc>
          <w:tcPr>
            <w:tcW w:w="1425" w:type="dxa"/>
            <w:vMerge w:val="restart"/>
            <w:vAlign w:val="center"/>
          </w:tcPr>
          <w:p>
            <w:r>
              <w:rPr>
                <w:rFonts w:hint="eastAsia"/>
              </w:rPr>
              <w:t>《保定市城市公共汽车客运条例》第五十八条</w:t>
            </w:r>
          </w:p>
        </w:tc>
        <w:tc>
          <w:tcPr>
            <w:tcW w:w="1827" w:type="dxa"/>
            <w:vMerge w:val="restart"/>
            <w:vAlign w:val="center"/>
          </w:tcPr>
          <w:p>
            <w:r>
              <w:rPr>
                <w:rFonts w:hint="eastAsia"/>
              </w:rPr>
              <w:t>责令限期改正；逾期未改正的，处二千元以上五千元以下罚款</w:t>
            </w:r>
          </w:p>
        </w:tc>
        <w:tc>
          <w:tcPr>
            <w:tcW w:w="1173" w:type="dxa"/>
            <w:vAlign w:val="center"/>
          </w:tcPr>
          <w:p>
            <w:pPr>
              <w:jc w:val="center"/>
            </w:pPr>
            <w:r>
              <w:rPr>
                <w:rFonts w:hint="eastAsia"/>
              </w:rPr>
              <w:t>一般</w:t>
            </w:r>
          </w:p>
        </w:tc>
        <w:tc>
          <w:tcPr>
            <w:tcW w:w="1663" w:type="dxa"/>
            <w:vAlign w:val="center"/>
          </w:tcPr>
          <w:p>
            <w:r>
              <w:rPr>
                <w:rFonts w:hint="eastAsia"/>
              </w:rPr>
              <w:t>首次实施违法行为逾期未改正，但未造成服务质量事件或社会影响的</w:t>
            </w:r>
          </w:p>
        </w:tc>
        <w:tc>
          <w:tcPr>
            <w:tcW w:w="2222" w:type="dxa"/>
            <w:vAlign w:val="center"/>
          </w:tcPr>
          <w:p>
            <w:r>
              <w:rPr>
                <w:rFonts w:hint="eastAsia"/>
              </w:rPr>
              <w:t>责令限期改正，处2000元的罚款</w:t>
            </w:r>
          </w:p>
        </w:tc>
        <w:tc>
          <w:tcPr>
            <w:tcW w:w="61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较重</w:t>
            </w:r>
          </w:p>
        </w:tc>
        <w:tc>
          <w:tcPr>
            <w:tcW w:w="1663" w:type="dxa"/>
            <w:vAlign w:val="center"/>
          </w:tcPr>
          <w:p>
            <w:r>
              <w:rPr>
                <w:rFonts w:hint="eastAsia"/>
              </w:rPr>
              <w:t>逾期改正不超过30日的</w:t>
            </w:r>
          </w:p>
        </w:tc>
        <w:tc>
          <w:tcPr>
            <w:tcW w:w="2222" w:type="dxa"/>
            <w:vAlign w:val="center"/>
          </w:tcPr>
          <w:p>
            <w:r>
              <w:rPr>
                <w:rFonts w:hint="eastAsia"/>
              </w:rPr>
              <w:t>责令限期改正，处3000元罚款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严重</w:t>
            </w:r>
          </w:p>
        </w:tc>
        <w:tc>
          <w:tcPr>
            <w:tcW w:w="1663" w:type="dxa"/>
            <w:vAlign w:val="center"/>
          </w:tcPr>
          <w:p>
            <w:r>
              <w:rPr>
                <w:rFonts w:hint="eastAsia"/>
              </w:rPr>
              <w:t>逾期改正超过30日的</w:t>
            </w:r>
          </w:p>
        </w:tc>
        <w:tc>
          <w:tcPr>
            <w:tcW w:w="2222" w:type="dxa"/>
            <w:vAlign w:val="center"/>
          </w:tcPr>
          <w:p>
            <w:r>
              <w:rPr>
                <w:rFonts w:hint="eastAsia"/>
              </w:rPr>
              <w:t>责令限期改正，处4000元罚款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80" w:type="dxa"/>
            <w:vMerge w:val="restart"/>
            <w:vAlign w:val="center"/>
          </w:tcPr>
          <w:p>
            <w:pPr>
              <w:jc w:val="center"/>
            </w:pPr>
            <w:r>
              <w:rPr>
                <w:rFonts w:hint="eastAsia"/>
              </w:rPr>
              <w:t>4</w:t>
            </w:r>
          </w:p>
        </w:tc>
        <w:tc>
          <w:tcPr>
            <w:tcW w:w="1935" w:type="dxa"/>
            <w:vMerge w:val="restart"/>
            <w:vAlign w:val="center"/>
          </w:tcPr>
          <w:p>
            <w:r>
              <w:rPr>
                <w:rFonts w:hint="eastAsia"/>
              </w:rPr>
              <w:t>对运营企业未定期对运营车辆及其安全设施设备进行检测、维护、更新等行为的行政处罚</w:t>
            </w:r>
          </w:p>
        </w:tc>
        <w:tc>
          <w:tcPr>
            <w:tcW w:w="1770" w:type="dxa"/>
            <w:vMerge w:val="restart"/>
            <w:vAlign w:val="center"/>
          </w:tcPr>
          <w:p>
            <w:r>
              <w:rPr>
                <w:rFonts w:hint="eastAsia"/>
              </w:rPr>
              <w:t>未定期对运营车辆及其安全设施设备进行检测、维护、更新的；未在运营车辆和场站显著位置设置安全警示标志、安全疏散示意图和安全应急设备的；聘用不具备本条例规定条件的人员担任驾驶员、乘务员的；未按照规定对相关从业人员进行培训的</w:t>
            </w:r>
          </w:p>
          <w:p/>
        </w:tc>
        <w:tc>
          <w:tcPr>
            <w:tcW w:w="1065" w:type="dxa"/>
            <w:vMerge w:val="restart"/>
            <w:vAlign w:val="center"/>
          </w:tcPr>
          <w:p>
            <w:r>
              <w:rPr>
                <w:rFonts w:hint="eastAsia"/>
              </w:rPr>
              <w:t>《保定市城市公共汽车客运条例》第三十五条、第三十六条、第四十四条、第四十五条</w:t>
            </w:r>
          </w:p>
        </w:tc>
        <w:tc>
          <w:tcPr>
            <w:tcW w:w="1425" w:type="dxa"/>
            <w:vMerge w:val="restart"/>
            <w:vAlign w:val="center"/>
          </w:tcPr>
          <w:p>
            <w:r>
              <w:rPr>
                <w:rFonts w:hint="eastAsia"/>
              </w:rPr>
              <w:t>《保定市城市公共汽车客运条例》第五十九条</w:t>
            </w:r>
          </w:p>
        </w:tc>
        <w:tc>
          <w:tcPr>
            <w:tcW w:w="1827" w:type="dxa"/>
            <w:vMerge w:val="restart"/>
            <w:vAlign w:val="center"/>
          </w:tcPr>
          <w:p>
            <w:r>
              <w:rPr>
                <w:rFonts w:hint="eastAsia"/>
              </w:rPr>
              <w:t>责令限期改正；逾期未改正的，处五千元以上一万元以下罚款</w:t>
            </w:r>
          </w:p>
        </w:tc>
        <w:tc>
          <w:tcPr>
            <w:tcW w:w="1173" w:type="dxa"/>
            <w:vAlign w:val="center"/>
          </w:tcPr>
          <w:p>
            <w:pPr>
              <w:jc w:val="center"/>
            </w:pPr>
            <w:r>
              <w:rPr>
                <w:rFonts w:hint="eastAsia"/>
              </w:rPr>
              <w:t>一般</w:t>
            </w:r>
          </w:p>
        </w:tc>
        <w:tc>
          <w:tcPr>
            <w:tcW w:w="1663" w:type="dxa"/>
            <w:vAlign w:val="center"/>
          </w:tcPr>
          <w:p>
            <w:r>
              <w:rPr>
                <w:rFonts w:hint="eastAsia"/>
              </w:rPr>
              <w:t>首次实施违法行为逾期未改正，但未造成服务质量事件或社会影响的</w:t>
            </w:r>
          </w:p>
        </w:tc>
        <w:tc>
          <w:tcPr>
            <w:tcW w:w="2222" w:type="dxa"/>
            <w:vAlign w:val="center"/>
          </w:tcPr>
          <w:p>
            <w:r>
              <w:rPr>
                <w:rFonts w:hint="eastAsia"/>
              </w:rPr>
              <w:t>责令限期改正，处5000元的罚款</w:t>
            </w:r>
          </w:p>
        </w:tc>
        <w:tc>
          <w:tcPr>
            <w:tcW w:w="61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较重</w:t>
            </w:r>
          </w:p>
        </w:tc>
        <w:tc>
          <w:tcPr>
            <w:tcW w:w="1663" w:type="dxa"/>
            <w:vAlign w:val="center"/>
          </w:tcPr>
          <w:p>
            <w:r>
              <w:rPr>
                <w:rFonts w:hint="eastAsia"/>
              </w:rPr>
              <w:t>逾期改正不超过30日的</w:t>
            </w:r>
          </w:p>
        </w:tc>
        <w:tc>
          <w:tcPr>
            <w:tcW w:w="2222" w:type="dxa"/>
            <w:vAlign w:val="center"/>
          </w:tcPr>
          <w:p>
            <w:r>
              <w:rPr>
                <w:rFonts w:hint="eastAsia"/>
              </w:rPr>
              <w:t>责令限期改正，处6000元的罚款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严重</w:t>
            </w:r>
          </w:p>
        </w:tc>
        <w:tc>
          <w:tcPr>
            <w:tcW w:w="1663" w:type="dxa"/>
            <w:vAlign w:val="center"/>
          </w:tcPr>
          <w:p>
            <w:r>
              <w:rPr>
                <w:rFonts w:hint="eastAsia"/>
              </w:rPr>
              <w:t>逾期改正超过30日的</w:t>
            </w:r>
          </w:p>
        </w:tc>
        <w:tc>
          <w:tcPr>
            <w:tcW w:w="2222" w:type="dxa"/>
            <w:vAlign w:val="center"/>
          </w:tcPr>
          <w:p>
            <w:r>
              <w:rPr>
                <w:rFonts w:hint="eastAsia"/>
              </w:rPr>
              <w:t>责令限期改正，处8000元的罚款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0" w:type="dxa"/>
            <w:vMerge w:val="restart"/>
            <w:vAlign w:val="center"/>
          </w:tcPr>
          <w:p>
            <w:pPr>
              <w:jc w:val="center"/>
            </w:pPr>
            <w:r>
              <w:rPr>
                <w:rFonts w:hint="eastAsia"/>
              </w:rPr>
              <w:t>5</w:t>
            </w:r>
          </w:p>
        </w:tc>
        <w:tc>
          <w:tcPr>
            <w:tcW w:w="1935" w:type="dxa"/>
            <w:vMerge w:val="restart"/>
            <w:vAlign w:val="center"/>
          </w:tcPr>
          <w:p>
            <w:r>
              <w:rPr>
                <w:rFonts w:hint="eastAsia"/>
              </w:rPr>
              <w:t>对相关城市公共汽车客运企业不按照确定的线路、站点、班次和时间运营及拒绝享受优惠待遇的乘客乘车的行政处罚</w:t>
            </w:r>
          </w:p>
        </w:tc>
        <w:tc>
          <w:tcPr>
            <w:tcW w:w="1770" w:type="dxa"/>
            <w:vMerge w:val="restart"/>
            <w:vAlign w:val="center"/>
          </w:tcPr>
          <w:p>
            <w:r>
              <w:rPr>
                <w:rFonts w:hint="eastAsia"/>
              </w:rPr>
              <w:t>不按照确定的线路、站点、班次和时间运营的；拒绝享受优惠待遇的乘客乘车的</w:t>
            </w:r>
          </w:p>
        </w:tc>
        <w:tc>
          <w:tcPr>
            <w:tcW w:w="1065" w:type="dxa"/>
            <w:vMerge w:val="restart"/>
            <w:vAlign w:val="center"/>
          </w:tcPr>
          <w:p>
            <w:r>
              <w:rPr>
                <w:rFonts w:hint="eastAsia"/>
              </w:rPr>
              <w:t>《保定市城市公共汽车客运条例》第二十六条、第三十八条</w:t>
            </w:r>
          </w:p>
        </w:tc>
        <w:tc>
          <w:tcPr>
            <w:tcW w:w="1425" w:type="dxa"/>
            <w:vMerge w:val="restart"/>
            <w:vAlign w:val="center"/>
          </w:tcPr>
          <w:p>
            <w:r>
              <w:rPr>
                <w:rFonts w:hint="eastAsia"/>
              </w:rPr>
              <w:t>《保定市城市公共汽车客运条例》第六十条</w:t>
            </w:r>
          </w:p>
        </w:tc>
        <w:tc>
          <w:tcPr>
            <w:tcW w:w="1827" w:type="dxa"/>
            <w:vMerge w:val="restart"/>
            <w:vAlign w:val="center"/>
          </w:tcPr>
          <w:p>
            <w:r>
              <w:rPr>
                <w:rFonts w:hint="eastAsia"/>
              </w:rPr>
              <w:t>责令限期改正，处一千元以上三千元以下罚款；情节严重的，终止相关线路特许经营协议</w:t>
            </w:r>
          </w:p>
        </w:tc>
        <w:tc>
          <w:tcPr>
            <w:tcW w:w="1173" w:type="dxa"/>
            <w:vAlign w:val="center"/>
          </w:tcPr>
          <w:p>
            <w:pPr>
              <w:jc w:val="center"/>
            </w:pPr>
            <w:r>
              <w:rPr>
                <w:rFonts w:hint="eastAsia"/>
              </w:rPr>
              <w:t>轻微</w:t>
            </w:r>
          </w:p>
        </w:tc>
        <w:tc>
          <w:tcPr>
            <w:tcW w:w="1663" w:type="dxa"/>
            <w:vAlign w:val="center"/>
          </w:tcPr>
          <w:p>
            <w:r>
              <w:rPr>
                <w:rFonts w:hint="eastAsia"/>
              </w:rPr>
              <w:t>初次实施违法行为的</w:t>
            </w:r>
          </w:p>
        </w:tc>
        <w:tc>
          <w:tcPr>
            <w:tcW w:w="2222" w:type="dxa"/>
            <w:vAlign w:val="center"/>
          </w:tcPr>
          <w:p>
            <w:r>
              <w:rPr>
                <w:rFonts w:hint="eastAsia"/>
              </w:rPr>
              <w:t>责令限期改正，并处1000元罚款</w:t>
            </w:r>
          </w:p>
        </w:tc>
        <w:tc>
          <w:tcPr>
            <w:tcW w:w="614"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0" w:type="dxa"/>
            <w:vMerge w:val="continue"/>
            <w:vAlign w:val="center"/>
          </w:tcPr>
          <w:p>
            <w:pPr>
              <w:jc w:val="center"/>
            </w:p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一般</w:t>
            </w:r>
          </w:p>
        </w:tc>
        <w:tc>
          <w:tcPr>
            <w:tcW w:w="1663" w:type="dxa"/>
            <w:vAlign w:val="center"/>
          </w:tcPr>
          <w:p>
            <w:pPr>
              <w:jc w:val="center"/>
            </w:pPr>
            <w:r>
              <w:rPr>
                <w:rFonts w:hint="eastAsia"/>
              </w:rPr>
              <w:t>一年内2次实施违法行为的</w:t>
            </w:r>
          </w:p>
        </w:tc>
        <w:tc>
          <w:tcPr>
            <w:tcW w:w="2222" w:type="dxa"/>
            <w:vAlign w:val="center"/>
          </w:tcPr>
          <w:p>
            <w:r>
              <w:rPr>
                <w:rFonts w:hint="eastAsia"/>
              </w:rPr>
              <w:t>责令限期改正，并处1500元罚款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较重</w:t>
            </w:r>
          </w:p>
        </w:tc>
        <w:tc>
          <w:tcPr>
            <w:tcW w:w="1663" w:type="dxa"/>
            <w:vAlign w:val="center"/>
          </w:tcPr>
          <w:p>
            <w:r>
              <w:rPr>
                <w:rFonts w:hint="eastAsia"/>
              </w:rPr>
              <w:t>一年内3次实施违法行为的</w:t>
            </w:r>
          </w:p>
        </w:tc>
        <w:tc>
          <w:tcPr>
            <w:tcW w:w="2222" w:type="dxa"/>
            <w:vAlign w:val="center"/>
          </w:tcPr>
          <w:p>
            <w:r>
              <w:rPr>
                <w:rFonts w:hint="eastAsia"/>
              </w:rPr>
              <w:t>责令限期改正，并处2000元罚款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严重</w:t>
            </w:r>
          </w:p>
        </w:tc>
        <w:tc>
          <w:tcPr>
            <w:tcW w:w="1663" w:type="dxa"/>
            <w:vAlign w:val="center"/>
          </w:tcPr>
          <w:p>
            <w:r>
              <w:rPr>
                <w:rFonts w:hint="eastAsia"/>
              </w:rPr>
              <w:t>一年内实施4次（含）违法行为以上的</w:t>
            </w:r>
          </w:p>
        </w:tc>
        <w:tc>
          <w:tcPr>
            <w:tcW w:w="2222" w:type="dxa"/>
            <w:vAlign w:val="center"/>
          </w:tcPr>
          <w:p>
            <w:r>
              <w:rPr>
                <w:rFonts w:hint="eastAsia"/>
              </w:rPr>
              <w:t>责令限期改正，并处3000元罚款；终止相关线路特许经营协议</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80" w:type="dxa"/>
            <w:vMerge w:val="restart"/>
            <w:vAlign w:val="center"/>
          </w:tcPr>
          <w:p>
            <w:pPr>
              <w:jc w:val="center"/>
            </w:pPr>
            <w:r>
              <w:rPr>
                <w:rFonts w:hint="eastAsia"/>
              </w:rPr>
              <w:t>6</w:t>
            </w:r>
          </w:p>
        </w:tc>
        <w:tc>
          <w:tcPr>
            <w:tcW w:w="1935" w:type="dxa"/>
            <w:vMerge w:val="restart"/>
            <w:vAlign w:val="center"/>
          </w:tcPr>
          <w:p>
            <w:r>
              <w:rPr>
                <w:rFonts w:hint="eastAsia"/>
              </w:rPr>
              <w:t>对危害城市公共汽车客运服务设施行为的行政处罚</w:t>
            </w:r>
          </w:p>
        </w:tc>
        <w:tc>
          <w:tcPr>
            <w:tcW w:w="1770" w:type="dxa"/>
            <w:vMerge w:val="restart"/>
            <w:vAlign w:val="center"/>
          </w:tcPr>
          <w:p>
            <w:r>
              <w:rPr>
                <w:rFonts w:hint="eastAsia"/>
              </w:rPr>
              <w:t>破坏、盗窃城市公共汽车服务设施；擅自拆除迁移、占用、关闭城市公共汽车客运服务设施；在电车架线杆、馈线安全保护范围内修建建筑物、构筑物或者堆放、悬挂物品，搭设管线、电（光）缆等的；擅自覆盖、涂改、污损、毁坏站牌和供电设施保护标识；其他损害城市公共汽车客运服务设施的行为</w:t>
            </w:r>
          </w:p>
        </w:tc>
        <w:tc>
          <w:tcPr>
            <w:tcW w:w="1065" w:type="dxa"/>
            <w:vMerge w:val="restart"/>
            <w:vAlign w:val="center"/>
          </w:tcPr>
          <w:p>
            <w:r>
              <w:rPr>
                <w:rFonts w:hint="eastAsia"/>
              </w:rPr>
              <w:t>《保定市城市公共汽车客运条例》第十九条</w:t>
            </w:r>
          </w:p>
        </w:tc>
        <w:tc>
          <w:tcPr>
            <w:tcW w:w="1425" w:type="dxa"/>
            <w:vMerge w:val="restart"/>
            <w:vAlign w:val="center"/>
          </w:tcPr>
          <w:p>
            <w:r>
              <w:rPr>
                <w:rFonts w:hint="eastAsia"/>
              </w:rPr>
              <w:t>《保定市城市公共汽车客运条例》第六十一条</w:t>
            </w:r>
          </w:p>
        </w:tc>
        <w:tc>
          <w:tcPr>
            <w:tcW w:w="1827" w:type="dxa"/>
            <w:vMerge w:val="restart"/>
            <w:vAlign w:val="center"/>
          </w:tcPr>
          <w:p>
            <w:r>
              <w:rPr>
                <w:rFonts w:hint="eastAsia"/>
              </w:rPr>
              <w:t>责令改正，对损坏的设施依法赔偿，并对个人处1000元以下的罚款，对单位处5000元以下的罚款；构成违反治安管理行为的，由公安机关依据《中华人民共和国治安管理处罚法》的规定，给予处罚；构成犯罪的，依法追究刑事责任</w:t>
            </w:r>
          </w:p>
        </w:tc>
        <w:tc>
          <w:tcPr>
            <w:tcW w:w="1173" w:type="dxa"/>
            <w:vAlign w:val="center"/>
          </w:tcPr>
          <w:p>
            <w:pPr>
              <w:jc w:val="center"/>
            </w:pPr>
            <w:r>
              <w:rPr>
                <w:rFonts w:hint="eastAsia"/>
              </w:rPr>
              <w:t>一般</w:t>
            </w:r>
          </w:p>
        </w:tc>
        <w:tc>
          <w:tcPr>
            <w:tcW w:w="1663" w:type="dxa"/>
            <w:vAlign w:val="center"/>
          </w:tcPr>
          <w:p>
            <w:r>
              <w:rPr>
                <w:rFonts w:hint="eastAsia"/>
              </w:rPr>
              <w:t>涉案个人或涉案单位人员态度较好，及时对损坏的设施依法赔偿的</w:t>
            </w:r>
          </w:p>
        </w:tc>
        <w:tc>
          <w:tcPr>
            <w:tcW w:w="2222" w:type="dxa"/>
            <w:vAlign w:val="center"/>
          </w:tcPr>
          <w:p>
            <w:r>
              <w:rPr>
                <w:rFonts w:hint="eastAsia"/>
              </w:rPr>
              <w:t>责令改正，并对涉案个人处300元的罚款，对涉案单位处1000元的罚款</w:t>
            </w:r>
          </w:p>
        </w:tc>
        <w:tc>
          <w:tcPr>
            <w:tcW w:w="614" w:type="dxa"/>
            <w:vMerge w:val="restart"/>
            <w:vAlign w:val="center"/>
          </w:tcPr>
          <w:p>
            <w:pPr>
              <w:jc w:val="center"/>
            </w:pPr>
            <w:r>
              <w:rPr>
                <w:rFonts w:hint="eastAsia"/>
              </w:rPr>
              <w:t>构成违反犯罪的，移交公安部门进行处理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较重</w:t>
            </w:r>
          </w:p>
        </w:tc>
        <w:tc>
          <w:tcPr>
            <w:tcW w:w="1663" w:type="dxa"/>
            <w:vAlign w:val="center"/>
          </w:tcPr>
          <w:p>
            <w:r>
              <w:rPr>
                <w:rFonts w:hint="eastAsia"/>
              </w:rPr>
              <w:t>涉案个人或涉案单位人员态度较好，未及时对损坏的设施依法赔偿</w:t>
            </w:r>
          </w:p>
        </w:tc>
        <w:tc>
          <w:tcPr>
            <w:tcW w:w="2222" w:type="dxa"/>
            <w:vAlign w:val="center"/>
          </w:tcPr>
          <w:p>
            <w:r>
              <w:rPr>
                <w:rFonts w:hint="eastAsia"/>
              </w:rPr>
              <w:t>责令改正，对损坏的设施依法赔偿，并对涉案个人处500元的罚款，对涉案单位处2500元的罚款</w:t>
            </w:r>
          </w:p>
        </w:tc>
        <w:tc>
          <w:tcPr>
            <w:tcW w:w="61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480" w:type="dxa"/>
            <w:vMerge w:val="continue"/>
            <w:vAlign w:val="center"/>
          </w:tcPr>
          <w:p/>
        </w:tc>
        <w:tc>
          <w:tcPr>
            <w:tcW w:w="1935" w:type="dxa"/>
            <w:vMerge w:val="continue"/>
            <w:vAlign w:val="center"/>
          </w:tcPr>
          <w:p/>
        </w:tc>
        <w:tc>
          <w:tcPr>
            <w:tcW w:w="1770" w:type="dxa"/>
            <w:vMerge w:val="continue"/>
            <w:vAlign w:val="center"/>
          </w:tcPr>
          <w:p/>
        </w:tc>
        <w:tc>
          <w:tcPr>
            <w:tcW w:w="1065" w:type="dxa"/>
            <w:vMerge w:val="continue"/>
            <w:vAlign w:val="center"/>
          </w:tcPr>
          <w:p/>
        </w:tc>
        <w:tc>
          <w:tcPr>
            <w:tcW w:w="1425" w:type="dxa"/>
            <w:vMerge w:val="continue"/>
            <w:vAlign w:val="center"/>
          </w:tcPr>
          <w:p/>
        </w:tc>
        <w:tc>
          <w:tcPr>
            <w:tcW w:w="1827" w:type="dxa"/>
            <w:vMerge w:val="continue"/>
            <w:vAlign w:val="center"/>
          </w:tcPr>
          <w:p/>
        </w:tc>
        <w:tc>
          <w:tcPr>
            <w:tcW w:w="1173" w:type="dxa"/>
            <w:vAlign w:val="center"/>
          </w:tcPr>
          <w:p>
            <w:pPr>
              <w:jc w:val="center"/>
            </w:pPr>
            <w:r>
              <w:rPr>
                <w:rFonts w:hint="eastAsia"/>
              </w:rPr>
              <w:t>严重</w:t>
            </w:r>
          </w:p>
        </w:tc>
        <w:tc>
          <w:tcPr>
            <w:tcW w:w="1663" w:type="dxa"/>
            <w:vAlign w:val="center"/>
          </w:tcPr>
          <w:p>
            <w:r>
              <w:rPr>
                <w:rFonts w:hint="eastAsia"/>
              </w:rPr>
              <w:t>涉案个人或涉案单位人员态度恶劣，未及时对损坏的设施依法赔偿的</w:t>
            </w:r>
          </w:p>
        </w:tc>
        <w:tc>
          <w:tcPr>
            <w:tcW w:w="2222" w:type="dxa"/>
            <w:vAlign w:val="center"/>
          </w:tcPr>
          <w:p>
            <w:r>
              <w:rPr>
                <w:rFonts w:hint="eastAsia"/>
              </w:rPr>
              <w:t>责令改正，对损坏的设施依法赔偿，并对涉案个人处800元罚款，对涉案单位处4000元的罚款</w:t>
            </w:r>
          </w:p>
        </w:tc>
        <w:tc>
          <w:tcPr>
            <w:tcW w:w="614" w:type="dxa"/>
            <w:vMerge w:val="continue"/>
          </w:tc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YzZkMDlmYTNjYWU5YmNkZTcyNWM1Zjk1YTM0MjgifQ=="/>
  </w:docVars>
  <w:rsids>
    <w:rsidRoot w:val="00921EEB"/>
    <w:rsid w:val="00165964"/>
    <w:rsid w:val="00167E50"/>
    <w:rsid w:val="00921EEB"/>
    <w:rsid w:val="00B67ADF"/>
    <w:rsid w:val="00C57047"/>
    <w:rsid w:val="145346E0"/>
    <w:rsid w:val="7861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332</Words>
  <Characters>1894</Characters>
  <Lines>15</Lines>
  <Paragraphs>4</Paragraphs>
  <TotalTime>2885</TotalTime>
  <ScaleCrop>false</ScaleCrop>
  <LinksUpToDate>false</LinksUpToDate>
  <CharactersWithSpaces>2222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2023-08-24T07:25:00Z</dcterms:created>
  <dc:creator>Administrator</dc:creator>
  <cp:lastModifiedBy>Administrator</cp:lastModifiedBy>
  <dcterms:modified xsi:type="dcterms:W3CDTF">2023-11-02T01:53:19Z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EECFE1738C5D434F8E29C0874E7DBD35_12</vt:lpwstr>
  </property>
</Properties>
</file>