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86" w:rsidRDefault="00B65512">
      <w:pPr>
        <w:spacing w:line="7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2022年国家统一法律职业资格考试</w:t>
      </w:r>
    </w:p>
    <w:p w:rsidR="001B5C86" w:rsidRDefault="00B65512">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疫情防控承诺书</w:t>
      </w:r>
    </w:p>
    <w:p w:rsidR="001B5C86" w:rsidRDefault="001B5C86"/>
    <w:p w:rsidR="001B5C86" w:rsidRDefault="00B6551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本人承诺：如实填写流行病学史筛查表和健康监测记录表，并承担有关疫情防控责任。</w:t>
      </w:r>
    </w:p>
    <w:p w:rsidR="001B5C86" w:rsidRDefault="00B6551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2022年9月10日-9月18日，参加国家统一法律职业资格考试期间，认真履行省、市各项疫情防控规定，严格按照保定市防控办《2022年度保定考区国家统一法律职业资格考试疫情防控实施方案》</w:t>
      </w:r>
      <w:r w:rsidR="005A3EE8">
        <w:rPr>
          <w:rFonts w:ascii="仿宋_GB2312" w:eastAsia="仿宋_GB2312" w:hAnsi="仿宋_GB2312" w:cs="仿宋_GB2312" w:hint="eastAsia"/>
          <w:sz w:val="32"/>
          <w:szCs w:val="32"/>
        </w:rPr>
        <w:t>《 保定市2022年国家统一法律职业资格考试新冠肺炎疫情防控告知书</w:t>
      </w:r>
      <w:bookmarkStart w:id="0" w:name="_GoBack"/>
      <w:bookmarkEnd w:id="0"/>
      <w:r w:rsidR="005A3E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要求，每日如实进行自我健康监测，定期体温检测，做好个人防护，严格落实疫情要求及管理制度，如有发热等异常症状随时报告，配合服从疫情处置需要。</w:t>
      </w:r>
    </w:p>
    <w:p w:rsidR="001B5C86" w:rsidRDefault="00B6551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考试期间做到不扎堆、不聚集，非应试人员不得进入考点范围。</w:t>
      </w:r>
    </w:p>
    <w:p w:rsidR="001B5C86" w:rsidRDefault="001B5C86">
      <w:pPr>
        <w:rPr>
          <w:rFonts w:ascii="仿宋_GB2312" w:eastAsia="仿宋_GB2312" w:hAnsi="仿宋_GB2312" w:cs="仿宋_GB2312"/>
          <w:sz w:val="32"/>
          <w:szCs w:val="32"/>
        </w:rPr>
      </w:pPr>
    </w:p>
    <w:p w:rsidR="001B5C86" w:rsidRDefault="00B65512">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承  诺  人：</w:t>
      </w:r>
    </w:p>
    <w:p w:rsidR="001B5C86" w:rsidRDefault="00B65512">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1B5C86" w:rsidRDefault="00B65512">
      <w:pPr>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2022年  月  日</w:t>
      </w:r>
    </w:p>
    <w:p w:rsidR="001B5C86" w:rsidRDefault="001B5C86">
      <w:pPr>
        <w:rPr>
          <w:rFonts w:ascii="仿宋_GB2312" w:eastAsia="仿宋_GB2312" w:hAnsi="仿宋_GB2312" w:cs="仿宋_GB2312"/>
          <w:sz w:val="32"/>
          <w:szCs w:val="32"/>
        </w:rPr>
      </w:pPr>
    </w:p>
    <w:p w:rsidR="001B5C86" w:rsidRDefault="001B5C86">
      <w:pPr>
        <w:jc w:val="center"/>
        <w:rPr>
          <w:rFonts w:ascii="方正小标宋简体" w:eastAsia="方正小标宋简体" w:hAnsi="方正小标宋简体" w:cs="方正小标宋简体"/>
          <w:sz w:val="44"/>
          <w:szCs w:val="44"/>
        </w:rPr>
      </w:pPr>
    </w:p>
    <w:p w:rsidR="001B5C86" w:rsidRDefault="00B65512">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lastRenderedPageBreak/>
        <w:t>流行病学史筛查表（个人填写）</w:t>
      </w:r>
    </w:p>
    <w:p w:rsidR="001B5C86" w:rsidRDefault="00B65512">
      <w:pPr>
        <w:rPr>
          <w:rFonts w:ascii="仿宋_GB2312" w:eastAsia="仿宋_GB2312" w:hAnsi="仿宋_GB2312" w:cs="仿宋_GB2312"/>
          <w:sz w:val="32"/>
          <w:szCs w:val="32"/>
        </w:rPr>
      </w:pPr>
      <w:r>
        <w:rPr>
          <w:rFonts w:ascii="仿宋_GB2312" w:eastAsia="仿宋_GB2312" w:hAnsi="仿宋_GB2312" w:cs="仿宋_GB2312" w:hint="eastAsia"/>
          <w:sz w:val="32"/>
          <w:szCs w:val="32"/>
        </w:rPr>
        <w:t>姓名：     性别：    年龄：     工作单位：</w:t>
      </w:r>
    </w:p>
    <w:p w:rsidR="001B5C86" w:rsidRDefault="00B65512">
      <w:pPr>
        <w:ind w:left="1600" w:hangingChars="500" w:hanging="1600"/>
        <w:rPr>
          <w:rFonts w:ascii="仿宋_GB2312" w:eastAsia="仿宋_GB2312" w:hAnsi="仿宋_GB2312" w:cs="仿宋_GB2312"/>
          <w:sz w:val="32"/>
          <w:szCs w:val="32"/>
        </w:rPr>
      </w:pPr>
      <w:r>
        <w:rPr>
          <w:rFonts w:ascii="仿宋_GB2312" w:eastAsia="仿宋_GB2312" w:hAnsi="仿宋_GB2312" w:cs="仿宋_GB2312" w:hint="eastAsia"/>
          <w:sz w:val="32"/>
          <w:szCs w:val="32"/>
        </w:rPr>
        <w:t>居住地：省市县小区</w:t>
      </w:r>
    </w:p>
    <w:p w:rsidR="001B5C86" w:rsidRDefault="00B65512" w:rsidP="008275EB">
      <w:pPr>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tbl>
      <w:tblPr>
        <w:tblStyle w:val="11"/>
        <w:tblW w:w="5038" w:type="pct"/>
        <w:tblLook w:val="04A0"/>
      </w:tblPr>
      <w:tblGrid>
        <w:gridCol w:w="5947"/>
        <w:gridCol w:w="1275"/>
        <w:gridCol w:w="1908"/>
      </w:tblGrid>
      <w:tr w:rsidR="001B5C86">
        <w:trPr>
          <w:trHeight w:val="489"/>
        </w:trPr>
        <w:tc>
          <w:tcPr>
            <w:tcW w:w="3256" w:type="pct"/>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筛查内容</w:t>
            </w:r>
          </w:p>
        </w:tc>
        <w:tc>
          <w:tcPr>
            <w:tcW w:w="698" w:type="pct"/>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是/否</w:t>
            </w:r>
          </w:p>
        </w:tc>
        <w:tc>
          <w:tcPr>
            <w:tcW w:w="1044" w:type="pct"/>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1B5C86">
        <w:trPr>
          <w:trHeight w:val="534"/>
        </w:trPr>
        <w:tc>
          <w:tcPr>
            <w:tcW w:w="3256" w:type="pct"/>
          </w:tcPr>
          <w:p w:rsidR="001B5C86" w:rsidRDefault="00B65512">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1.考试前10天内国（境）外旅居史</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470"/>
        </w:trPr>
        <w:tc>
          <w:tcPr>
            <w:tcW w:w="3256" w:type="pct"/>
          </w:tcPr>
          <w:p w:rsidR="001B5C86" w:rsidRDefault="00B65512">
            <w:pPr>
              <w:spacing w:line="260" w:lineRule="exact"/>
              <w:jc w:val="left"/>
              <w:rPr>
                <w:rFonts w:ascii="仿宋_GB2312" w:eastAsia="仿宋_GB2312" w:hAnsi="仿宋_GB2312" w:cs="仿宋_GB2312"/>
                <w:sz w:val="24"/>
              </w:rPr>
            </w:pPr>
            <w:r>
              <w:rPr>
                <w:rFonts w:ascii="仿宋_GB2312" w:eastAsia="仿宋_GB2312" w:hAnsi="仿宋_GB2312" w:cs="仿宋_GB2312" w:hint="eastAsia"/>
                <w:sz w:val="24"/>
              </w:rPr>
              <w:t>2.考试前7天内国内中高风险区旅居史</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931"/>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3.考试前10天内与新冠肺炎确诊病例、疑似病例、无症状感染者及上途3类人员的密切接触者或次密切接触者是否有密切接触史</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627"/>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4.考试前7天内中高风险区所在县（区、市）旅居史</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523"/>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5.考试前7天内涉疫县（区、市）旅居史</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728"/>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6.已治愈出院的新冠肺炎确诊病例和已解除集中隔离医学观察的无症状感染者，尚在随访或医学观察期内</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627"/>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7.需要隔离医学观察的其他重点风险人员</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402"/>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8.全程接种疫苗，按要求完成加强第三针接种</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606"/>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9.健康码和行程码均为绿码，体温低于37.3℃，且无干咳、乏力，嗅（味）觉减退、腹泻等异常症状</w:t>
            </w:r>
          </w:p>
        </w:tc>
        <w:tc>
          <w:tcPr>
            <w:tcW w:w="698" w:type="pct"/>
          </w:tcPr>
          <w:p w:rsidR="001B5C86" w:rsidRDefault="001B5C86">
            <w:pPr>
              <w:spacing w:line="260" w:lineRule="exact"/>
              <w:rPr>
                <w:rFonts w:ascii="仿宋_GB2312" w:eastAsia="仿宋_GB2312" w:hAnsi="仿宋_GB2312" w:cs="仿宋_GB2312"/>
                <w:sz w:val="32"/>
                <w:szCs w:val="32"/>
              </w:rPr>
            </w:pPr>
          </w:p>
        </w:tc>
        <w:tc>
          <w:tcPr>
            <w:tcW w:w="1044" w:type="pct"/>
          </w:tcPr>
          <w:p w:rsidR="001B5C86" w:rsidRDefault="001B5C86">
            <w:pPr>
              <w:spacing w:line="260" w:lineRule="exact"/>
              <w:rPr>
                <w:rFonts w:ascii="仿宋_GB2312" w:eastAsia="仿宋_GB2312" w:hAnsi="仿宋_GB2312" w:cs="仿宋_GB2312"/>
                <w:sz w:val="32"/>
                <w:szCs w:val="32"/>
              </w:rPr>
            </w:pPr>
          </w:p>
        </w:tc>
      </w:tr>
      <w:tr w:rsidR="001B5C86">
        <w:trPr>
          <w:trHeight w:val="606"/>
        </w:trPr>
        <w:tc>
          <w:tcPr>
            <w:tcW w:w="3256" w:type="pct"/>
          </w:tcPr>
          <w:p w:rsidR="001B5C86" w:rsidRDefault="00B65512">
            <w:pPr>
              <w:spacing w:line="26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sz w:val="24"/>
              </w:rPr>
              <w:t>0.7</w:t>
            </w:r>
            <w:r>
              <w:rPr>
                <w:rFonts w:ascii="仿宋_GB2312" w:eastAsia="仿宋_GB2312" w:hAnsi="仿宋_GB2312" w:cs="仿宋_GB2312" w:hint="eastAsia"/>
                <w:sz w:val="24"/>
              </w:rPr>
              <w:t>日内旅居地（具体到区、县级）</w:t>
            </w:r>
          </w:p>
        </w:tc>
        <w:tc>
          <w:tcPr>
            <w:tcW w:w="1743" w:type="pct"/>
            <w:gridSpan w:val="2"/>
          </w:tcPr>
          <w:p w:rsidR="001B5C86" w:rsidRDefault="001B5C86">
            <w:pPr>
              <w:spacing w:line="260" w:lineRule="exact"/>
              <w:rPr>
                <w:rFonts w:ascii="仿宋_GB2312" w:eastAsia="仿宋_GB2312" w:hAnsi="仿宋_GB2312" w:cs="仿宋_GB2312"/>
                <w:sz w:val="32"/>
                <w:szCs w:val="32"/>
              </w:rPr>
            </w:pPr>
          </w:p>
        </w:tc>
      </w:tr>
    </w:tbl>
    <w:p w:rsidR="001B5C86" w:rsidRDefault="00B65512">
      <w:pPr>
        <w:rPr>
          <w:rFonts w:ascii="仿宋_GB2312" w:eastAsia="仿宋_GB2312" w:hAnsi="仿宋_GB2312" w:cs="仿宋_GB2312"/>
          <w:sz w:val="32"/>
          <w:szCs w:val="32"/>
        </w:rPr>
      </w:pPr>
      <w:r>
        <w:rPr>
          <w:rFonts w:ascii="仿宋_GB2312" w:eastAsia="仿宋_GB2312" w:hAnsi="仿宋_GB2312" w:cs="仿宋_GB2312" w:hint="eastAsia"/>
          <w:sz w:val="32"/>
          <w:szCs w:val="32"/>
        </w:rPr>
        <w:t>注：1.如有相关情况，请备注写明详细情况。</w:t>
      </w:r>
    </w:p>
    <w:p w:rsidR="001B5C86" w:rsidRDefault="00B6551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2.按照填表日期当天公布的高中风险地区填写。</w:t>
      </w:r>
    </w:p>
    <w:p w:rsidR="008275EB" w:rsidRDefault="008275EB">
      <w:pPr>
        <w:pStyle w:val="a9"/>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3.9月17日考试的填表日期为9月16日，</w:t>
      </w:r>
      <w:r w:rsidR="00EB1C8D">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月1</w:t>
      </w:r>
      <w:r w:rsidR="00EB1C8D">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日考试的填表日期为9月1</w:t>
      </w:r>
      <w:r w:rsidR="00EB1C8D">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1B5C86" w:rsidRPr="00FD6FC1" w:rsidRDefault="00B65512" w:rsidP="00266E6C">
      <w:pPr>
        <w:pStyle w:val="a9"/>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填报日期：            </w:t>
      </w:r>
    </w:p>
    <w:p w:rsidR="001B5C86" w:rsidRDefault="00B6551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每日健康监测记录表（个人填写）</w:t>
      </w:r>
    </w:p>
    <w:p w:rsidR="001B5C86" w:rsidRDefault="00B65512">
      <w:pPr>
        <w:rPr>
          <w:rFonts w:ascii="仿宋_GB2312" w:eastAsia="仿宋_GB2312" w:hAnsi="仿宋_GB2312" w:cs="仿宋_GB2312"/>
          <w:sz w:val="32"/>
          <w:szCs w:val="32"/>
        </w:rPr>
      </w:pPr>
      <w:r>
        <w:rPr>
          <w:rFonts w:ascii="仿宋_GB2312" w:eastAsia="仿宋_GB2312" w:hAnsi="仿宋_GB2312" w:cs="仿宋_GB2312" w:hint="eastAsia"/>
          <w:sz w:val="32"/>
          <w:szCs w:val="32"/>
        </w:rPr>
        <w:t>姓名：     性别：    年龄：     工作单位：    联系电话：</w:t>
      </w:r>
    </w:p>
    <w:p w:rsidR="001B5C86" w:rsidRDefault="00B6551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居住地：省市县小区          </w:t>
      </w:r>
    </w:p>
    <w:tbl>
      <w:tblPr>
        <w:tblStyle w:val="a7"/>
        <w:tblpPr w:leftFromText="180" w:rightFromText="180" w:vertAnchor="text" w:horzAnchor="page" w:tblpX="1611" w:tblpY="45"/>
        <w:tblOverlap w:val="never"/>
        <w:tblW w:w="9398" w:type="dxa"/>
        <w:tblLook w:val="04A0"/>
      </w:tblPr>
      <w:tblGrid>
        <w:gridCol w:w="1651"/>
        <w:gridCol w:w="1380"/>
        <w:gridCol w:w="2760"/>
        <w:gridCol w:w="3607"/>
      </w:tblGrid>
      <w:tr w:rsidR="001B5C86">
        <w:trPr>
          <w:trHeight w:val="522"/>
        </w:trPr>
        <w:tc>
          <w:tcPr>
            <w:tcW w:w="1651" w:type="dxa"/>
          </w:tcPr>
          <w:p w:rsidR="001B5C86" w:rsidRDefault="00B65512">
            <w:pPr>
              <w:tabs>
                <w:tab w:val="left" w:pos="2302"/>
              </w:tabs>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p>
        </w:tc>
        <w:tc>
          <w:tcPr>
            <w:tcW w:w="1380"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体温</w:t>
            </w:r>
          </w:p>
        </w:tc>
        <w:tc>
          <w:tcPr>
            <w:tcW w:w="2760"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症状</w:t>
            </w: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河北健康码状态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9月10日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9月11日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9月12日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9月13日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9月14日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9月15日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22"/>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9月16日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r w:rsidR="001B5C86">
        <w:trPr>
          <w:trHeight w:val="531"/>
        </w:trPr>
        <w:tc>
          <w:tcPr>
            <w:tcW w:w="1651"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9月17日</w:t>
            </w:r>
          </w:p>
        </w:tc>
        <w:tc>
          <w:tcPr>
            <w:tcW w:w="1380" w:type="dxa"/>
          </w:tcPr>
          <w:p w:rsidR="001B5C86" w:rsidRDefault="001B5C86">
            <w:pPr>
              <w:jc w:val="center"/>
              <w:rPr>
                <w:rFonts w:ascii="仿宋_GB2312" w:eastAsia="仿宋_GB2312" w:hAnsi="仿宋_GB2312" w:cs="仿宋_GB2312"/>
                <w:sz w:val="32"/>
                <w:szCs w:val="32"/>
              </w:rPr>
            </w:pPr>
          </w:p>
        </w:tc>
        <w:tc>
          <w:tcPr>
            <w:tcW w:w="2760" w:type="dxa"/>
          </w:tcPr>
          <w:p w:rsidR="001B5C86" w:rsidRDefault="001B5C86">
            <w:pPr>
              <w:jc w:val="center"/>
              <w:rPr>
                <w:rFonts w:ascii="仿宋_GB2312" w:eastAsia="仿宋_GB2312" w:hAnsi="仿宋_GB2312" w:cs="仿宋_GB2312"/>
                <w:sz w:val="32"/>
                <w:szCs w:val="32"/>
              </w:rPr>
            </w:pPr>
          </w:p>
        </w:tc>
        <w:tc>
          <w:tcPr>
            <w:tcW w:w="3607" w:type="dxa"/>
          </w:tcPr>
          <w:p w:rsidR="001B5C86" w:rsidRDefault="00B6551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绿码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黄码</w:t>
            </w:r>
            <w:r>
              <w:rPr>
                <w:rFonts w:ascii="仿宋_GB2312" w:eastAsia="仿宋_GB2312" w:hAnsi="仿宋_GB2312" w:cs="仿宋_GB2312" w:hint="eastAsia"/>
                <w:sz w:val="32"/>
                <w:szCs w:val="32"/>
              </w:rPr>
              <w:sym w:font="Wingdings 2" w:char="00A3"/>
            </w:r>
            <w:r>
              <w:rPr>
                <w:rFonts w:ascii="仿宋_GB2312" w:eastAsia="仿宋_GB2312" w:hAnsi="仿宋_GB2312" w:cs="仿宋_GB2312" w:hint="eastAsia"/>
                <w:sz w:val="32"/>
                <w:szCs w:val="32"/>
              </w:rPr>
              <w:t>红码</w:t>
            </w:r>
          </w:p>
        </w:tc>
      </w:tr>
    </w:tbl>
    <w:p w:rsidR="001B5C86" w:rsidRDefault="00B65512">
      <w:pPr>
        <w:spacing w:line="560" w:lineRule="exact"/>
        <w:rPr>
          <w:rFonts w:ascii="仿宋_GB2312" w:eastAsia="仿宋_GB2312" w:hAnsi="仿宋_GB2312" w:cs="仿宋_GB2312"/>
          <w:spacing w:val="-11"/>
          <w:sz w:val="24"/>
        </w:rPr>
      </w:pPr>
      <w:r>
        <w:rPr>
          <w:rFonts w:ascii="仿宋_GB2312" w:eastAsia="仿宋_GB2312" w:hAnsi="仿宋_GB2312" w:cs="仿宋_GB2312" w:hint="eastAsia"/>
          <w:spacing w:val="-11"/>
          <w:sz w:val="24"/>
        </w:rPr>
        <w:t>注：1.“体温”填水银温度计腋下温度；其他症状填写相应情况：包括寒战、咳嗽、咳痰、咽痛、打喷嚏、流涕、鼻塞、头痛、乏力、肌肉酸痛、关节酸痛、气促、呼吸困难、胸闷、结膜充血、恶心、呕吐、腹泻、腹痛、皮疹、黄疸、嗅觉异常、味觉异常等或无；河北健康码状态据实选择并划“√”。</w:t>
      </w:r>
    </w:p>
    <w:p w:rsidR="001B5C86" w:rsidRDefault="00B65512">
      <w:pPr>
        <w:spacing w:line="560" w:lineRule="exact"/>
        <w:ind w:firstLineChars="200" w:firstLine="436"/>
        <w:rPr>
          <w:rFonts w:ascii="仿宋_GB2312" w:eastAsia="仿宋_GB2312" w:hAnsi="仿宋_GB2312" w:cs="仿宋_GB2312"/>
          <w:spacing w:val="-11"/>
          <w:sz w:val="24"/>
        </w:rPr>
      </w:pPr>
      <w:r>
        <w:rPr>
          <w:rFonts w:ascii="仿宋_GB2312" w:eastAsia="仿宋_GB2312" w:hAnsi="仿宋_GB2312" w:cs="仿宋_GB2312" w:hint="eastAsia"/>
          <w:spacing w:val="-11"/>
          <w:sz w:val="24"/>
        </w:rPr>
        <w:t>2.9月17日考试填写9月10日至9月16日，9月18日考试填写9月11日至9月17日。如河北健康码变为黄码或红码，立即报告驻地疫情防控和医疗保障人员。</w:t>
      </w:r>
    </w:p>
    <w:p w:rsidR="001B5C86" w:rsidRDefault="00B65512">
      <w:pPr>
        <w:spacing w:line="560" w:lineRule="exact"/>
        <w:ind w:firstLineChars="200" w:firstLine="436"/>
        <w:rPr>
          <w:rFonts w:ascii="仿宋_GB2312" w:eastAsia="仿宋_GB2312" w:hAnsi="仿宋_GB2312" w:cs="仿宋_GB2312"/>
          <w:sz w:val="24"/>
        </w:rPr>
      </w:pPr>
      <w:r>
        <w:rPr>
          <w:rFonts w:ascii="仿宋_GB2312" w:eastAsia="仿宋_GB2312" w:hAnsi="仿宋_GB2312" w:cs="仿宋_GB2312" w:hint="eastAsia"/>
          <w:spacing w:val="-11"/>
          <w:sz w:val="24"/>
        </w:rPr>
        <w:t>3.有上述症状应及时向市司法局法律职业管理处报告（0312-5913691），未排除传染病者或存在其他身体不适者不得参加考试。</w:t>
      </w:r>
      <w:r>
        <w:rPr>
          <w:rFonts w:ascii="仿宋_GB2312" w:eastAsia="仿宋_GB2312" w:hAnsi="仿宋_GB2312" w:cs="仿宋_GB2312" w:hint="eastAsia"/>
          <w:sz w:val="24"/>
        </w:rPr>
        <w:t xml:space="preserve">填报日期：                      </w:t>
      </w:r>
    </w:p>
    <w:sectPr w:rsidR="001B5C86" w:rsidSect="00B57080">
      <w:footerReference w:type="default" r:id="rId7"/>
      <w:pgSz w:w="11906" w:h="16838"/>
      <w:pgMar w:top="2098" w:right="1474" w:bottom="1984" w:left="1587" w:header="851" w:footer="992" w:gutter="0"/>
      <w:pgNumType w:fmt="numberInDash"/>
      <w:cols w:space="0"/>
      <w:docGrid w:type="line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643" w:rsidRDefault="00D02643">
      <w:r>
        <w:separator/>
      </w:r>
    </w:p>
  </w:endnote>
  <w:endnote w:type="continuationSeparator" w:id="1">
    <w:p w:rsidR="00D02643" w:rsidRDefault="00D026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86" w:rsidRDefault="00B57080">
    <w:pPr>
      <w:pStyle w:val="a5"/>
    </w:pPr>
    <w:r>
      <w:rPr>
        <w:noProof/>
      </w:rPr>
      <w:pict>
        <v:rect id="文本框 5" o:spid="_x0000_s4097" style="position:absolute;margin-left:196.8pt;margin-top:0;width:2in;height:2in;z-index:251659264;visibility:visible;mso-wrap-style:none;mso-wrap-distance-left:0;mso-wrap-distance-right:0;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TCQD2rYBAABEAwAADgAAAAAAAAAAAAAAAAAuAgAAZHJzL2Uyb0RvYy54bWxQ&#10;SwECLQAUAAYACAAAACEAe5YwBdYAAAAFAQAADwAAAAAAAAAAAAAAAAAQBAAAZHJzL2Rvd25yZXYu&#10;eG1sUEsFBgAAAAAEAAQA8wAAABMFAAAAAA==&#10;" filled="f" stroked="f">
          <v:textbox style="mso-fit-shape-to-text:t" inset="0,0,0,0">
            <w:txbxContent>
              <w:p w:rsidR="001B5C86" w:rsidRDefault="00B57080">
                <w:pPr>
                  <w:pStyle w:val="a5"/>
                </w:pPr>
                <w:r>
                  <w:rPr>
                    <w:rFonts w:ascii="仿宋_GB2312" w:eastAsia="仿宋_GB2312" w:hAnsi="仿宋_GB2312" w:cs="仿宋_GB2312" w:hint="eastAsia"/>
                    <w:sz w:val="28"/>
                    <w:szCs w:val="28"/>
                  </w:rPr>
                  <w:fldChar w:fldCharType="begin"/>
                </w:r>
                <w:r w:rsidR="00B65512">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D76CF">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643" w:rsidRDefault="00D02643">
      <w:r>
        <w:separator/>
      </w:r>
    </w:p>
  </w:footnote>
  <w:footnote w:type="continuationSeparator" w:id="1">
    <w:p w:rsidR="00D02643" w:rsidRDefault="00D02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98"/>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g3MDMxMjU0NjAxZTM0YzhhN2NkZDlhZTM3YjIyYmEifQ=="/>
  </w:docVars>
  <w:rsids>
    <w:rsidRoot w:val="00174E94"/>
    <w:rsid w:val="93C39D35"/>
    <w:rsid w:val="ABFFC097"/>
    <w:rsid w:val="AEEFE419"/>
    <w:rsid w:val="BFEB06D8"/>
    <w:rsid w:val="BFFD05B7"/>
    <w:rsid w:val="D5FF90EF"/>
    <w:rsid w:val="DB9FCC92"/>
    <w:rsid w:val="DBFF1EF3"/>
    <w:rsid w:val="DF6F648F"/>
    <w:rsid w:val="E3E9E450"/>
    <w:rsid w:val="E75F6879"/>
    <w:rsid w:val="EA9DC569"/>
    <w:rsid w:val="F3BF4811"/>
    <w:rsid w:val="F3F78452"/>
    <w:rsid w:val="F78BBEB3"/>
    <w:rsid w:val="FB0F1B89"/>
    <w:rsid w:val="FE9C3A1A"/>
    <w:rsid w:val="FED3A4F5"/>
    <w:rsid w:val="FFDDAFFF"/>
    <w:rsid w:val="FFFC7989"/>
    <w:rsid w:val="00061DBB"/>
    <w:rsid w:val="000A676F"/>
    <w:rsid w:val="000A79E0"/>
    <w:rsid w:val="00174E94"/>
    <w:rsid w:val="001B5C86"/>
    <w:rsid w:val="002457B0"/>
    <w:rsid w:val="00266E6C"/>
    <w:rsid w:val="002D0312"/>
    <w:rsid w:val="004C7000"/>
    <w:rsid w:val="00540C08"/>
    <w:rsid w:val="005A3EE8"/>
    <w:rsid w:val="008275EB"/>
    <w:rsid w:val="008368FF"/>
    <w:rsid w:val="00A442D6"/>
    <w:rsid w:val="00B57080"/>
    <w:rsid w:val="00B65512"/>
    <w:rsid w:val="00CD5D5E"/>
    <w:rsid w:val="00CD76CF"/>
    <w:rsid w:val="00D02643"/>
    <w:rsid w:val="00DB1860"/>
    <w:rsid w:val="00E64429"/>
    <w:rsid w:val="00EB1C8D"/>
    <w:rsid w:val="00F47EB0"/>
    <w:rsid w:val="00FD6FC1"/>
    <w:rsid w:val="06170932"/>
    <w:rsid w:val="07C84A57"/>
    <w:rsid w:val="0A316E54"/>
    <w:rsid w:val="0EC8FF80"/>
    <w:rsid w:val="10505F32"/>
    <w:rsid w:val="132A4818"/>
    <w:rsid w:val="16C8093D"/>
    <w:rsid w:val="170A6E3A"/>
    <w:rsid w:val="18D97C85"/>
    <w:rsid w:val="1DFAF19C"/>
    <w:rsid w:val="1E9F67A4"/>
    <w:rsid w:val="1F6B1393"/>
    <w:rsid w:val="28E91C9A"/>
    <w:rsid w:val="2C932357"/>
    <w:rsid w:val="2EAFFB30"/>
    <w:rsid w:val="33FF9F2A"/>
    <w:rsid w:val="37FB89F5"/>
    <w:rsid w:val="399F7DEA"/>
    <w:rsid w:val="41290DBD"/>
    <w:rsid w:val="41EC7C88"/>
    <w:rsid w:val="483D40E3"/>
    <w:rsid w:val="4A9E0668"/>
    <w:rsid w:val="4BB1DB52"/>
    <w:rsid w:val="4DBF4B2E"/>
    <w:rsid w:val="510C21EF"/>
    <w:rsid w:val="52302EF2"/>
    <w:rsid w:val="52673F3B"/>
    <w:rsid w:val="53487DC7"/>
    <w:rsid w:val="56FC3001"/>
    <w:rsid w:val="5BBF6951"/>
    <w:rsid w:val="5CA43380"/>
    <w:rsid w:val="5CEFA865"/>
    <w:rsid w:val="5DFBB857"/>
    <w:rsid w:val="5EF808F3"/>
    <w:rsid w:val="6BA22943"/>
    <w:rsid w:val="6F9FA544"/>
    <w:rsid w:val="71D96C57"/>
    <w:rsid w:val="724D62FB"/>
    <w:rsid w:val="72891579"/>
    <w:rsid w:val="73751681"/>
    <w:rsid w:val="778F23C6"/>
    <w:rsid w:val="78462278"/>
    <w:rsid w:val="787B8677"/>
    <w:rsid w:val="7BF6B461"/>
    <w:rsid w:val="7C7F2B49"/>
    <w:rsid w:val="7E7F9D58"/>
    <w:rsid w:val="7F6EA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
    <w:qFormat/>
    <w:rsid w:val="00B57080"/>
    <w:pPr>
      <w:widowControl w:val="0"/>
      <w:jc w:val="both"/>
    </w:pPr>
    <w:rPr>
      <w:kern w:val="2"/>
      <w:sz w:val="21"/>
      <w:szCs w:val="24"/>
    </w:rPr>
  </w:style>
  <w:style w:type="paragraph" w:styleId="1">
    <w:name w:val="heading 1"/>
    <w:basedOn w:val="a"/>
    <w:next w:val="a"/>
    <w:uiPriority w:val="9"/>
    <w:qFormat/>
    <w:rsid w:val="00B57080"/>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rsid w:val="00B57080"/>
    <w:pPr>
      <w:ind w:firstLineChars="200" w:firstLine="420"/>
      <w:textAlignment w:val="baseline"/>
    </w:pPr>
  </w:style>
  <w:style w:type="paragraph" w:styleId="a3">
    <w:name w:val="Body Text"/>
    <w:basedOn w:val="a"/>
    <w:next w:val="a4"/>
    <w:qFormat/>
    <w:rsid w:val="00B57080"/>
    <w:pPr>
      <w:spacing w:after="140" w:line="276" w:lineRule="auto"/>
    </w:pPr>
  </w:style>
  <w:style w:type="paragraph" w:styleId="a4">
    <w:name w:val="Body Text Indent"/>
    <w:basedOn w:val="a"/>
    <w:qFormat/>
    <w:rsid w:val="00B57080"/>
    <w:pPr>
      <w:spacing w:after="120"/>
      <w:ind w:leftChars="200" w:left="420"/>
    </w:pPr>
  </w:style>
  <w:style w:type="paragraph" w:styleId="a5">
    <w:name w:val="footer"/>
    <w:basedOn w:val="a"/>
    <w:qFormat/>
    <w:rsid w:val="00B57080"/>
    <w:pPr>
      <w:tabs>
        <w:tab w:val="center" w:pos="4153"/>
        <w:tab w:val="right" w:pos="8306"/>
      </w:tabs>
      <w:snapToGrid w:val="0"/>
      <w:jc w:val="left"/>
    </w:pPr>
    <w:rPr>
      <w:rFonts w:ascii="Times New Roman" w:hAnsi="Times New Roman" w:cs="Times New Roman"/>
      <w:sz w:val="18"/>
    </w:rPr>
  </w:style>
  <w:style w:type="paragraph" w:styleId="a6">
    <w:name w:val="header"/>
    <w:basedOn w:val="a"/>
    <w:qFormat/>
    <w:rsid w:val="00B570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57080"/>
    <w:pPr>
      <w:ind w:firstLineChars="200" w:firstLine="632"/>
    </w:pPr>
  </w:style>
  <w:style w:type="paragraph" w:styleId="2">
    <w:name w:val="toc 2"/>
    <w:basedOn w:val="a"/>
    <w:next w:val="a"/>
    <w:qFormat/>
    <w:rsid w:val="00B57080"/>
    <w:pPr>
      <w:ind w:leftChars="200" w:left="420"/>
    </w:pPr>
    <w:rPr>
      <w:szCs w:val="20"/>
    </w:rPr>
  </w:style>
  <w:style w:type="table" w:styleId="a7">
    <w:name w:val="Table Grid"/>
    <w:basedOn w:val="a1"/>
    <w:qFormat/>
    <w:rsid w:val="00B570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B57080"/>
    <w:rPr>
      <w:rFonts w:hint="default"/>
      <w:sz w:val="24"/>
    </w:rPr>
  </w:style>
  <w:style w:type="paragraph" w:customStyle="1" w:styleId="Default">
    <w:name w:val="Default"/>
    <w:uiPriority w:val="99"/>
    <w:qFormat/>
    <w:rsid w:val="00B57080"/>
    <w:pPr>
      <w:widowControl w:val="0"/>
      <w:autoSpaceDE w:val="0"/>
      <w:autoSpaceDN w:val="0"/>
      <w:adjustRightInd w:val="0"/>
    </w:pPr>
    <w:rPr>
      <w:rFonts w:ascii="黑体" w:eastAsia="黑体" w:hAnsi="黑体"/>
      <w:color w:val="000000"/>
      <w:sz w:val="24"/>
    </w:rPr>
  </w:style>
  <w:style w:type="paragraph" w:customStyle="1" w:styleId="NewNewNewNewNewNew">
    <w:name w:val="正文 New New New New New New"/>
    <w:qFormat/>
    <w:rsid w:val="00B57080"/>
    <w:pPr>
      <w:widowControl w:val="0"/>
      <w:jc w:val="both"/>
    </w:pPr>
    <w:rPr>
      <w:rFonts w:ascii="Times New Roman" w:hAnsi="Times New Roman" w:cs="Times New Roman"/>
      <w:kern w:val="2"/>
      <w:sz w:val="21"/>
      <w:szCs w:val="24"/>
    </w:rPr>
  </w:style>
  <w:style w:type="paragraph" w:styleId="a9">
    <w:name w:val="List Paragraph"/>
    <w:basedOn w:val="a"/>
    <w:uiPriority w:val="34"/>
    <w:qFormat/>
    <w:rsid w:val="00B57080"/>
    <w:pPr>
      <w:ind w:firstLineChars="200" w:firstLine="420"/>
    </w:pPr>
  </w:style>
  <w:style w:type="paragraph" w:customStyle="1" w:styleId="20">
    <w:name w:val="列表段落2"/>
    <w:basedOn w:val="a"/>
    <w:uiPriority w:val="26"/>
    <w:qFormat/>
    <w:rsid w:val="00B57080"/>
    <w:pPr>
      <w:ind w:firstLineChars="200" w:firstLine="420"/>
    </w:pPr>
  </w:style>
  <w:style w:type="paragraph" w:customStyle="1" w:styleId="WPSOffice1">
    <w:name w:val="WPSOffice手动目录 1"/>
    <w:qFormat/>
    <w:rsid w:val="00B57080"/>
  </w:style>
  <w:style w:type="paragraph" w:customStyle="1" w:styleId="WPSOffice2">
    <w:name w:val="WPSOffice手动目录 2"/>
    <w:qFormat/>
    <w:rsid w:val="00B57080"/>
    <w:pPr>
      <w:ind w:leftChars="200" w:left="200"/>
    </w:pPr>
  </w:style>
  <w:style w:type="paragraph" w:customStyle="1" w:styleId="WPSOffice3">
    <w:name w:val="WPSOffice手动目录 3"/>
    <w:qFormat/>
    <w:rsid w:val="00B57080"/>
    <w:pPr>
      <w:ind w:leftChars="400" w:left="400"/>
    </w:pPr>
  </w:style>
  <w:style w:type="table" w:customStyle="1" w:styleId="11">
    <w:name w:val="网格型1"/>
    <w:basedOn w:val="a1"/>
    <w:qFormat/>
    <w:rsid w:val="00B570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 A"/>
    <w:qFormat/>
    <w:rsid w:val="00B57080"/>
    <w:pPr>
      <w:widowControl w:val="0"/>
      <w:spacing w:line="580" w:lineRule="exact"/>
      <w:ind w:firstLine="200"/>
      <w:jc w:val="both"/>
    </w:pPr>
    <w:rPr>
      <w:rFonts w:ascii="仿宋_GB2312" w:eastAsia="仿宋_GB2312" w:hAnsi="仿宋_GB2312" w:cs="仿宋_GB2312"/>
      <w:color w:val="00000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pPr>
      <w:ind w:firstLineChars="200" w:firstLine="420"/>
      <w:textAlignment w:val="baseline"/>
    </w:pPr>
  </w:style>
  <w:style w:type="paragraph" w:styleId="a3">
    <w:name w:val="Body Text"/>
    <w:basedOn w:val="a"/>
    <w:next w:val="a4"/>
    <w:qFormat/>
    <w:pPr>
      <w:spacing w:after="140" w:line="276" w:lineRule="auto"/>
    </w:p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rFonts w:ascii="Times New Roman" w:hAnsi="Times New Roman" w:cs="Times New Roman"/>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ind w:firstLineChars="200" w:firstLine="632"/>
    </w:pPr>
  </w:style>
  <w:style w:type="paragraph" w:styleId="2">
    <w:name w:val="toc 2"/>
    <w:basedOn w:val="a"/>
    <w:next w:val="a"/>
    <w:qFormat/>
    <w:pPr>
      <w:ind w:leftChars="200" w:left="420"/>
    </w:pPr>
    <w:rPr>
      <w:szCs w:val="2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Pr>
      <w:rFonts w:hint="default"/>
      <w:sz w:val="24"/>
    </w:rPr>
  </w:style>
  <w:style w:type="paragraph" w:customStyle="1" w:styleId="Default">
    <w:name w:val="Default"/>
    <w:uiPriority w:val="99"/>
    <w:qFormat/>
    <w:pPr>
      <w:widowControl w:val="0"/>
      <w:autoSpaceDE w:val="0"/>
      <w:autoSpaceDN w:val="0"/>
      <w:adjustRightInd w:val="0"/>
    </w:pPr>
    <w:rPr>
      <w:rFonts w:ascii="黑体" w:eastAsia="黑体" w:hAnsi="黑体"/>
      <w:color w:val="000000"/>
      <w:sz w:val="24"/>
    </w:rPr>
  </w:style>
  <w:style w:type="paragraph" w:customStyle="1" w:styleId="NewNewNewNewNewNew">
    <w:name w:val="正文 New New New New New New"/>
    <w:qFormat/>
    <w:pPr>
      <w:widowControl w:val="0"/>
      <w:jc w:val="both"/>
    </w:pPr>
    <w:rPr>
      <w:rFonts w:ascii="Times New Roman" w:hAnsi="Times New Roman" w:cs="Times New Roman"/>
      <w:kern w:val="2"/>
      <w:sz w:val="21"/>
      <w:szCs w:val="24"/>
    </w:rPr>
  </w:style>
  <w:style w:type="paragraph" w:styleId="a9">
    <w:name w:val="List Paragraph"/>
    <w:basedOn w:val="a"/>
    <w:uiPriority w:val="34"/>
    <w:qFormat/>
    <w:pPr>
      <w:ind w:firstLineChars="200" w:firstLine="420"/>
    </w:pPr>
  </w:style>
  <w:style w:type="paragraph" w:customStyle="1" w:styleId="20">
    <w:name w:val="列表段落2"/>
    <w:basedOn w:val="a"/>
    <w:uiPriority w:val="26"/>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正文 A"/>
    <w:qFormat/>
    <w:pPr>
      <w:widowControl w:val="0"/>
      <w:spacing w:line="580" w:lineRule="exact"/>
      <w:ind w:firstLine="200"/>
      <w:jc w:val="both"/>
    </w:pPr>
    <w:rPr>
      <w:rFonts w:ascii="仿宋_GB2312" w:eastAsia="仿宋_GB2312" w:hAnsi="仿宋_GB2312" w:cs="仿宋_GB2312"/>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张子钊</dc:creator>
  <cp:lastModifiedBy>ayj</cp:lastModifiedBy>
  <cp:revision>2</cp:revision>
  <cp:lastPrinted>2022-07-29T19:26:00Z</cp:lastPrinted>
  <dcterms:created xsi:type="dcterms:W3CDTF">2022-09-07T02:30:00Z</dcterms:created>
  <dcterms:modified xsi:type="dcterms:W3CDTF">2022-09-07T02:30:00Z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BCE0D66D09DB4357A345242BA3DBAF69</vt:lpwstr>
  </property>
</Properties>
</file>